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802" w:rsidRPr="0005262F" w:rsidRDefault="00894802" w:rsidP="0005262F">
      <w:pPr>
        <w:spacing w:after="0" w:line="240" w:lineRule="auto"/>
        <w:rPr>
          <w:rFonts w:ascii="Times New Roman" w:hAnsi="Times New Roman" w:cs="Times New Roman"/>
          <w:b/>
          <w:sz w:val="48"/>
          <w:szCs w:val="48"/>
          <w:lang w:eastAsia="pl-PL"/>
        </w:rPr>
      </w:pPr>
      <w:bookmarkStart w:id="0" w:name="_GoBack"/>
      <w:bookmarkEnd w:id="0"/>
      <w:r w:rsidRPr="0005262F">
        <w:rPr>
          <w:rFonts w:ascii="Times New Roman" w:hAnsi="Times New Roman" w:cs="Times New Roman"/>
          <w:b/>
          <w:sz w:val="48"/>
          <w:szCs w:val="48"/>
          <w:lang w:eastAsia="pl-PL"/>
        </w:rPr>
        <w:t>D-04.01.01</w:t>
      </w:r>
    </w:p>
    <w:p w:rsidR="00894802" w:rsidRPr="0005262F" w:rsidRDefault="00894802" w:rsidP="0005262F">
      <w:pPr>
        <w:spacing w:after="0" w:line="240" w:lineRule="auto"/>
        <w:rPr>
          <w:rFonts w:ascii="Times New Roman" w:hAnsi="Times New Roman" w:cs="Times New Roman"/>
          <w:b/>
          <w:sz w:val="20"/>
          <w:szCs w:val="36"/>
          <w:lang w:eastAsia="pl-PL"/>
        </w:rPr>
      </w:pPr>
    </w:p>
    <w:p w:rsidR="00894802" w:rsidRPr="0005262F" w:rsidRDefault="00894802" w:rsidP="0005262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eastAsia="pl-PL"/>
        </w:rPr>
      </w:pPr>
      <w:r w:rsidRPr="0005262F">
        <w:rPr>
          <w:rFonts w:ascii="Times New Roman" w:hAnsi="Times New Roman" w:cs="Times New Roman"/>
          <w:b/>
          <w:sz w:val="36"/>
          <w:szCs w:val="36"/>
          <w:lang w:eastAsia="pl-PL"/>
        </w:rPr>
        <w:t>KORYTO  WRAZ  Z  PROFILOWANIEM</w:t>
      </w:r>
    </w:p>
    <w:p w:rsidR="00894802" w:rsidRPr="0005262F" w:rsidRDefault="00894802" w:rsidP="0005262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eastAsia="pl-PL"/>
        </w:rPr>
      </w:pPr>
      <w:r w:rsidRPr="0005262F">
        <w:rPr>
          <w:rFonts w:ascii="Times New Roman" w:hAnsi="Times New Roman" w:cs="Times New Roman"/>
          <w:b/>
          <w:sz w:val="36"/>
          <w:szCs w:val="36"/>
          <w:lang w:eastAsia="pl-PL"/>
        </w:rPr>
        <w:t>I  ZAGĘSZCZANIEM  PODŁOŻA</w:t>
      </w:r>
    </w:p>
    <w:p w:rsidR="00894802" w:rsidRDefault="00894802" w:rsidP="0005262F">
      <w:pPr>
        <w:rPr>
          <w:lang w:eastAsia="pl-PL"/>
        </w:rPr>
      </w:pPr>
      <w:r w:rsidRPr="00894802">
        <w:rPr>
          <w:lang w:eastAsia="pl-PL"/>
        </w:rPr>
        <w:t> </w:t>
      </w:r>
    </w:p>
    <w:p w:rsidR="0005262F" w:rsidRPr="00894802" w:rsidRDefault="0005262F" w:rsidP="0005262F">
      <w:pPr>
        <w:rPr>
          <w:color w:val="000000"/>
          <w:lang w:eastAsia="pl-PL"/>
        </w:rPr>
      </w:pP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" w:name="_Toc416830698"/>
      <w:bookmarkStart w:id="2" w:name="_Toc404150096"/>
      <w:bookmarkStart w:id="3" w:name="_1._WSTĘP"/>
      <w:bookmarkEnd w:id="1"/>
      <w:bookmarkEnd w:id="2"/>
      <w:bookmarkEnd w:id="3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1. WSTĘP</w:t>
      </w:r>
    </w:p>
    <w:p w:rsidR="0005262F" w:rsidRPr="0005262F" w:rsidRDefault="00B542A0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4" w:name="_Toc405704473"/>
      <w:bookmarkStart w:id="5" w:name="_Toc405780134"/>
      <w:bookmarkStart w:id="6" w:name="_Toc406295846"/>
      <w:bookmarkStart w:id="7" w:name="_Toc406913835"/>
      <w:bookmarkStart w:id="8" w:name="_Toc406914080"/>
      <w:bookmarkStart w:id="9" w:name="_Toc406914738"/>
      <w:bookmarkStart w:id="10" w:name="_Toc406915316"/>
      <w:bookmarkStart w:id="11" w:name="_Toc406984009"/>
      <w:bookmarkStart w:id="12" w:name="_Toc406984156"/>
      <w:bookmarkStart w:id="13" w:name="_Toc406984347"/>
      <w:bookmarkStart w:id="14" w:name="_Toc407069555"/>
      <w:bookmarkStart w:id="15" w:name="_Toc407081520"/>
      <w:bookmarkStart w:id="16" w:name="_Toc407083319"/>
      <w:bookmarkStart w:id="17" w:name="_Toc407084153"/>
      <w:bookmarkStart w:id="18" w:name="_Toc407085272"/>
      <w:bookmarkStart w:id="19" w:name="_Toc407085415"/>
      <w:bookmarkStart w:id="20" w:name="_Toc407085558"/>
      <w:bookmarkStart w:id="21" w:name="_Toc407086006"/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1.1. Przedmiot S</w:t>
      </w:r>
      <w:r w:rsidR="0005262F"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Przedmiotem niniejszej </w:t>
      </w:r>
      <w:r w:rsidR="00B54591">
        <w:rPr>
          <w:rFonts w:ascii="Times New Roman" w:eastAsia="Times New Roman" w:hAnsi="Times New Roman" w:cs="Times New Roman"/>
          <w:sz w:val="20"/>
          <w:szCs w:val="20"/>
          <w:lang w:eastAsia="pl-PL"/>
        </w:rPr>
        <w:t>szczegółowej</w:t>
      </w:r>
      <w:r w:rsidR="00B542A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specyfikacji technicznej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są wymagania dotyczące wykonania i odbioru robót związanych z wykonywaniem koryta wraz z profilowaniem i zagęszczaniem podłoża gruntowego.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22" w:name="_Toc406913840"/>
      <w:bookmarkStart w:id="23" w:name="_Toc406914085"/>
      <w:bookmarkStart w:id="24" w:name="_Toc406914743"/>
      <w:bookmarkStart w:id="25" w:name="_Toc406915321"/>
      <w:bookmarkStart w:id="26" w:name="_Toc406984014"/>
      <w:bookmarkStart w:id="27" w:name="_Toc406984161"/>
      <w:bookmarkStart w:id="28" w:name="_Toc406984352"/>
      <w:bookmarkStart w:id="29" w:name="_Toc407069560"/>
      <w:bookmarkStart w:id="30" w:name="_Toc407081525"/>
      <w:bookmarkStart w:id="31" w:name="_Toc407083324"/>
      <w:bookmarkStart w:id="32" w:name="_Toc407084158"/>
      <w:bookmarkStart w:id="33" w:name="_Toc407085277"/>
      <w:bookmarkStart w:id="34" w:name="_Toc407085420"/>
      <w:bookmarkStart w:id="35" w:name="_Toc407085563"/>
      <w:bookmarkStart w:id="36" w:name="_Toc407086011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2. materiały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 występują.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37" w:name="_Toc406913841"/>
      <w:bookmarkStart w:id="38" w:name="_Toc406914086"/>
      <w:bookmarkStart w:id="39" w:name="_Toc406914744"/>
      <w:bookmarkStart w:id="40" w:name="_Toc406915322"/>
      <w:bookmarkStart w:id="41" w:name="_Toc406984015"/>
      <w:bookmarkStart w:id="42" w:name="_Toc406984162"/>
      <w:bookmarkStart w:id="43" w:name="_Toc406984353"/>
      <w:bookmarkStart w:id="44" w:name="_Toc407069561"/>
      <w:bookmarkStart w:id="45" w:name="_Toc407081526"/>
      <w:bookmarkStart w:id="46" w:name="_Toc407083325"/>
      <w:bookmarkStart w:id="47" w:name="_Toc407084159"/>
      <w:bookmarkStart w:id="48" w:name="_Toc407085278"/>
      <w:bookmarkStart w:id="49" w:name="_Toc407085421"/>
      <w:bookmarkStart w:id="50" w:name="_Toc407085564"/>
      <w:bookmarkStart w:id="51" w:name="_Toc407086012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3. sprzęt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52" w:name="_Toc406913842"/>
      <w:bookmarkStart w:id="53" w:name="_Toc406914087"/>
      <w:bookmarkStart w:id="54" w:name="_Toc406914745"/>
      <w:bookmarkStart w:id="55" w:name="_Toc406915323"/>
      <w:bookmarkStart w:id="56" w:name="_Toc406984016"/>
      <w:bookmarkStart w:id="57" w:name="_Toc406984163"/>
      <w:bookmarkStart w:id="58" w:name="_Toc406984354"/>
      <w:bookmarkStart w:id="59" w:name="_Toc407069562"/>
      <w:bookmarkStart w:id="60" w:name="_Toc407081527"/>
      <w:bookmarkStart w:id="61" w:name="_Toc407083326"/>
      <w:bookmarkStart w:id="62" w:name="_Toc407084160"/>
      <w:bookmarkStart w:id="63" w:name="_Toc407085279"/>
      <w:bookmarkStart w:id="64" w:name="_Toc407085422"/>
      <w:bookmarkStart w:id="65" w:name="_Toc407085565"/>
      <w:bookmarkStart w:id="66" w:name="_Toc407086013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3.1. Ogólne wymagania dotyczące sprzętu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sprzętu podano w OST D-M-00.00.00 „Wymagania ogólne” pkt 3.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67" w:name="_Toc406913843"/>
      <w:bookmarkStart w:id="68" w:name="_Toc406914088"/>
      <w:bookmarkStart w:id="69" w:name="_Toc406914746"/>
      <w:bookmarkStart w:id="70" w:name="_Toc406915324"/>
      <w:bookmarkStart w:id="71" w:name="_Toc406984017"/>
      <w:bookmarkStart w:id="72" w:name="_Toc406984164"/>
      <w:bookmarkStart w:id="73" w:name="_Toc406984355"/>
      <w:bookmarkStart w:id="74" w:name="_Toc407069563"/>
      <w:bookmarkStart w:id="75" w:name="_Toc407081528"/>
      <w:bookmarkStart w:id="76" w:name="_Toc407083327"/>
      <w:bookmarkStart w:id="77" w:name="_Toc407084161"/>
      <w:bookmarkStart w:id="78" w:name="_Toc407085280"/>
      <w:bookmarkStart w:id="79" w:name="_Toc407085423"/>
      <w:bookmarkStart w:id="80" w:name="_Toc407085566"/>
      <w:bookmarkStart w:id="81" w:name="_Toc407086014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3.2. Sprzęt do wykonania robót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Wykonawca przystępujący do wykonania koryta i profilowania podłoża powinien wykazać się możliwością korzystania z następującego sprzętu: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równiarek lub spycharek uniwersalnych z ukośnie ustawianym lemieszem; Inżynier może dopuścić wykonanie koryta i profilowanie podłoża z zastosowaniem spycharki z lemieszem ustawionym prostopadle do kierunku pracy maszyny,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koparek z czerpakami profilowymi (przy wykonywaniu wąskich koryt),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walców statycznych, wibracyjnych lub płyt wibracyjnych.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Stosowany sprzęt nie może spowodować niekorzystnego wpływu na właściwości gruntu podłoża.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82" w:name="_Toc406913844"/>
      <w:bookmarkStart w:id="83" w:name="_Toc406914089"/>
      <w:bookmarkStart w:id="84" w:name="_Toc406914747"/>
      <w:bookmarkStart w:id="85" w:name="_Toc406915325"/>
      <w:bookmarkStart w:id="86" w:name="_Toc406984018"/>
      <w:bookmarkStart w:id="87" w:name="_Toc406984165"/>
      <w:bookmarkStart w:id="88" w:name="_Toc406984356"/>
      <w:bookmarkStart w:id="89" w:name="_Toc407069564"/>
      <w:bookmarkStart w:id="90" w:name="_Toc407081529"/>
      <w:bookmarkStart w:id="91" w:name="_Toc407083328"/>
      <w:bookmarkStart w:id="92" w:name="_Toc407084162"/>
      <w:bookmarkStart w:id="93" w:name="_Toc407085281"/>
      <w:bookmarkStart w:id="94" w:name="_Toc407085424"/>
      <w:bookmarkStart w:id="95" w:name="_Toc407085567"/>
      <w:bookmarkStart w:id="96" w:name="_Toc407086015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4. transport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97" w:name="_Toc406913845"/>
      <w:bookmarkStart w:id="98" w:name="_Toc406914090"/>
      <w:bookmarkStart w:id="99" w:name="_Toc406914748"/>
      <w:bookmarkStart w:id="100" w:name="_Toc406915326"/>
      <w:bookmarkStart w:id="101" w:name="_Toc406984019"/>
      <w:bookmarkStart w:id="102" w:name="_Toc406984166"/>
      <w:bookmarkStart w:id="103" w:name="_Toc406984357"/>
      <w:bookmarkStart w:id="104" w:name="_Toc407069565"/>
      <w:bookmarkStart w:id="105" w:name="_Toc407081530"/>
      <w:bookmarkStart w:id="106" w:name="_Toc407083329"/>
      <w:bookmarkStart w:id="107" w:name="_Toc407084163"/>
      <w:bookmarkStart w:id="108" w:name="_Toc407085282"/>
      <w:bookmarkStart w:id="109" w:name="_Toc407085425"/>
      <w:bookmarkStart w:id="110" w:name="_Toc407085568"/>
      <w:bookmarkStart w:id="111" w:name="_Toc407086016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4.1. Ogólne wymagania dotyczące transportu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bookmarkStart w:id="112" w:name="_Toc406822326"/>
      <w:bookmarkStart w:id="113" w:name="_Toc406913846"/>
      <w:bookmarkStart w:id="114" w:name="_Toc406914091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wymagania dotyczące transportu podano w OST D-M-00.00.00 „Wymagania ogólne” pkt 4.</w:t>
      </w:r>
      <w:bookmarkEnd w:id="112"/>
      <w:bookmarkEnd w:id="113"/>
      <w:bookmarkEnd w:id="114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15" w:name="_Toc406913847"/>
      <w:bookmarkStart w:id="116" w:name="_Toc406914092"/>
      <w:bookmarkStart w:id="117" w:name="_Toc406914749"/>
      <w:bookmarkStart w:id="118" w:name="_Toc406915327"/>
      <w:bookmarkStart w:id="119" w:name="_Toc406984020"/>
      <w:bookmarkStart w:id="120" w:name="_Toc406984167"/>
      <w:bookmarkStart w:id="121" w:name="_Toc406984358"/>
      <w:bookmarkStart w:id="122" w:name="_Toc407069566"/>
      <w:bookmarkStart w:id="123" w:name="_Toc407081531"/>
      <w:bookmarkStart w:id="124" w:name="_Toc407083330"/>
      <w:bookmarkStart w:id="125" w:name="_Toc407084164"/>
      <w:bookmarkStart w:id="126" w:name="_Toc407085283"/>
      <w:bookmarkStart w:id="127" w:name="_Toc407085426"/>
      <w:bookmarkStart w:id="128" w:name="_Toc407085569"/>
      <w:bookmarkStart w:id="129" w:name="_Toc407086017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4.2. Transport materiałów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bookmarkStart w:id="130" w:name="_Toc406822328"/>
      <w:bookmarkStart w:id="131" w:name="_Toc406913848"/>
      <w:bookmarkStart w:id="132" w:name="_Toc406914093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Wymagania dotyczące transportu materiałów podano w OST D-04.02.01,                D-04.02.02, D-04.03.01</w:t>
      </w:r>
      <w:bookmarkEnd w:id="130"/>
      <w:bookmarkEnd w:id="131"/>
      <w:bookmarkEnd w:id="132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pkt 4.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33" w:name="_Toc406913849"/>
      <w:bookmarkStart w:id="134" w:name="_Toc406914094"/>
      <w:bookmarkStart w:id="135" w:name="_Toc406914750"/>
      <w:bookmarkStart w:id="136" w:name="_Toc406915328"/>
      <w:bookmarkStart w:id="137" w:name="_Toc406984021"/>
      <w:bookmarkStart w:id="138" w:name="_Toc406984168"/>
      <w:bookmarkStart w:id="139" w:name="_Toc406984359"/>
      <w:bookmarkStart w:id="140" w:name="_Toc407069567"/>
      <w:bookmarkStart w:id="141" w:name="_Toc407081532"/>
      <w:bookmarkStart w:id="142" w:name="_Toc407083331"/>
      <w:bookmarkStart w:id="143" w:name="_Toc407084165"/>
      <w:bookmarkStart w:id="144" w:name="_Toc407085284"/>
      <w:bookmarkStart w:id="145" w:name="_Toc407085427"/>
      <w:bookmarkStart w:id="146" w:name="_Toc407085570"/>
      <w:bookmarkStart w:id="147" w:name="_Toc407086018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5. wykonanie robót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48" w:name="_Toc406913850"/>
      <w:bookmarkStart w:id="149" w:name="_Toc406914095"/>
      <w:bookmarkStart w:id="150" w:name="_Toc406914751"/>
      <w:bookmarkStart w:id="151" w:name="_Toc406915329"/>
      <w:bookmarkStart w:id="152" w:name="_Toc406984022"/>
      <w:bookmarkStart w:id="153" w:name="_Toc406984169"/>
      <w:bookmarkStart w:id="154" w:name="_Toc406984360"/>
      <w:bookmarkStart w:id="155" w:name="_Toc407069568"/>
      <w:bookmarkStart w:id="156" w:name="_Toc407081533"/>
      <w:bookmarkStart w:id="157" w:name="_Toc407083332"/>
      <w:bookmarkStart w:id="158" w:name="_Toc407084166"/>
      <w:bookmarkStart w:id="159" w:name="_Toc407085285"/>
      <w:bookmarkStart w:id="160" w:name="_Toc407085428"/>
      <w:bookmarkStart w:id="161" w:name="_Toc407085571"/>
      <w:bookmarkStart w:id="162" w:name="_Toc407086019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5.1. Ogólne zasady wykonania robót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bookmarkStart w:id="163" w:name="_Toc406822331"/>
      <w:bookmarkStart w:id="164" w:name="_Toc406913851"/>
      <w:bookmarkStart w:id="165" w:name="_Toc406914096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zasady wykonania robót podano w OST D-M-00.00.00 „Wymagania ogólne” pkt 5.</w:t>
      </w:r>
      <w:bookmarkEnd w:id="163"/>
      <w:bookmarkEnd w:id="164"/>
      <w:bookmarkEnd w:id="165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66" w:name="_Toc406913852"/>
      <w:bookmarkStart w:id="167" w:name="_Toc406914097"/>
      <w:bookmarkStart w:id="168" w:name="_Toc406914752"/>
      <w:bookmarkStart w:id="169" w:name="_Toc406915330"/>
      <w:bookmarkStart w:id="170" w:name="_Toc406984023"/>
      <w:bookmarkStart w:id="171" w:name="_Toc406984170"/>
      <w:bookmarkStart w:id="172" w:name="_Toc406984361"/>
      <w:bookmarkStart w:id="173" w:name="_Toc407069569"/>
      <w:bookmarkStart w:id="174" w:name="_Toc407081534"/>
      <w:bookmarkStart w:id="175" w:name="_Toc407083333"/>
      <w:bookmarkStart w:id="176" w:name="_Toc407084167"/>
      <w:bookmarkStart w:id="177" w:name="_Toc407085286"/>
      <w:bookmarkStart w:id="178" w:name="_Toc407085429"/>
      <w:bookmarkStart w:id="179" w:name="_Toc407085572"/>
      <w:bookmarkStart w:id="180" w:name="_Toc407086020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5.2. Warunki przystąpienia do robót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Wykonawca powinien przystąpić do wykonania koryta oraz profilowania i zagęszczenia podłoża bezpośrednio przed rozpoczęciem robót związanych z wykonaniem warstw nawierzchni. Wcześniejsze przystąpienie do wykonania koryta oraz profilowania i zagęszczania </w:t>
      </w:r>
      <w:proofErr w:type="spellStart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podłoża,jest</w:t>
      </w:r>
      <w:proofErr w:type="spellEnd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możliwe wyłącznie za zgodą Inżyniera, w korzystnych warunkach atmosferycznych.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wykonanym korycie oraz po wyprofilowanym i zagęszczonym podłożu nie może odbywać się ruch budowlany, niezwiązany bezpośrednio z wykonaniem pierwszej warstwy nawierzchni.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81" w:name="_Toc406913853"/>
      <w:bookmarkStart w:id="182" w:name="_Toc406914098"/>
      <w:bookmarkStart w:id="183" w:name="_Toc406914753"/>
      <w:bookmarkStart w:id="184" w:name="_Toc406915331"/>
      <w:bookmarkStart w:id="185" w:name="_Toc406984024"/>
      <w:bookmarkStart w:id="186" w:name="_Toc406984171"/>
      <w:bookmarkStart w:id="187" w:name="_Toc406984362"/>
      <w:bookmarkStart w:id="188" w:name="_Toc407069570"/>
      <w:bookmarkStart w:id="189" w:name="_Toc407081535"/>
      <w:bookmarkStart w:id="190" w:name="_Toc407083334"/>
      <w:bookmarkStart w:id="191" w:name="_Toc407084168"/>
      <w:bookmarkStart w:id="192" w:name="_Toc407085287"/>
      <w:bookmarkStart w:id="193" w:name="_Toc407085430"/>
      <w:bookmarkStart w:id="194" w:name="_Toc407085573"/>
      <w:bookmarkStart w:id="195" w:name="_Toc407086021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5.3. Wykonanie koryta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Paliki lub szpilki do prawidłowego ukształtowania koryta w planie i profilu powinny być wcześniej przygotowane.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 niż co 10 metrów.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Rodzaj sprzętu, a w szczególności jego moc należy dostosować do rodzaju gruntu, w którym prowadzone są roboty i do trudności jego odspojenia. 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Koryto można wykonywać ręcznie, gdy jego szerokość nie pozwala na zastosowanie maszyn, na przykład na poszerzeniach lub w przypadku robót o małym zakresie. Sposób wykonania musi być zaakceptowany przez Inżyniera.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Grunt odspojony w czasie wykonywania koryta powinien być wykorzystany zgodnie z ustaleniami dokumentacji projektowej i SST, tj. wbudowany w nasyp lub odwieziony na odkład w miejsce wskazane przez Inżyniera.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Profilowanie i zagęszczenie podłoża należy wykonać zgodnie z zasadami określonymi w pkt 5.4.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96" w:name="_Toc406913854"/>
      <w:bookmarkStart w:id="197" w:name="_Toc406914099"/>
      <w:bookmarkStart w:id="198" w:name="_Toc406914754"/>
      <w:bookmarkStart w:id="199" w:name="_Toc406915332"/>
      <w:bookmarkStart w:id="200" w:name="_Toc406984025"/>
      <w:bookmarkStart w:id="201" w:name="_Toc406984172"/>
      <w:bookmarkStart w:id="202" w:name="_Toc406984363"/>
      <w:bookmarkStart w:id="203" w:name="_Toc407069571"/>
      <w:bookmarkStart w:id="204" w:name="_Toc407081536"/>
      <w:bookmarkStart w:id="205" w:name="_Toc407083335"/>
      <w:bookmarkStart w:id="206" w:name="_Toc407084169"/>
      <w:bookmarkStart w:id="207" w:name="_Toc407085288"/>
      <w:bookmarkStart w:id="208" w:name="_Toc407085431"/>
      <w:bookmarkStart w:id="209" w:name="_Toc407085574"/>
      <w:bookmarkStart w:id="210" w:name="_Toc407086022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5.4. Profilowanie i zagęszczanie podłoża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Przed przystąpieniem do profilowania podłoże powinno być oczyszczone ze wszelkich zanieczyszczeń.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 oczyszczeniu powierzchni podłoża należy sprawdzić, czy istniejące rzędne terenu umożliwiają uzyskanie po profilowaniu zaprojektowanych rzędnych podłoża. Zaleca się, aby rzędne terenu przed profilowaniem były o co najmniej 5 cm wyższe niż projektowane rzędne podłoża.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Jeżeli powyższy warunek nie jest spełniony i występują zaniżenia poziomu w podłożu przewidzianym do profilowania, Wykonawca powinien spulchnić podłoże na głębokość zaakceptowaną przez Inżyniera, dowieźć dodatkowy grunt spełniający wymagania obowiązujące dla górnej strefy korpusu, w ilości koniecznej do uzyskania wymaganych rzędnych wysokościowych i zagęścić warstwę do uzyskania wartości wskaźnika zagęszczenia, określonych w tablicy 1.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Do profilowania podłoża należy stosować równiarki. Ścięty grunt powinien być wykorzystany w robotach ziemnych lub w inny sposób zaakceptowany przez Inżyniera.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Bezpośrednio po profilowaniu podłoża należy przystąpić do jego zagęszczania. Zagęszczanie podłoża należy kontynuować do osiągnięcia wskaźnika zagęszczenia nie mniejszego od podanego w tablicy 1. Wskaźnik zagęszczenia należy określać zgodnie z BN-77/8931-12 [5].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1. Minimalne wartości wskaźnika zagęszczenia podłoża (</w:t>
      </w:r>
      <w:proofErr w:type="spellStart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I</w:t>
      </w:r>
      <w:r w:rsidRPr="0005262F">
        <w:rPr>
          <w:rFonts w:ascii="Times New Roman" w:eastAsia="Times New Roman" w:hAnsi="Times New Roman" w:cs="Times New Roman"/>
          <w:sz w:val="20"/>
          <w:szCs w:val="20"/>
          <w:vertAlign w:val="subscript"/>
          <w:lang w:eastAsia="pl-PL"/>
        </w:rPr>
        <w:t>s</w:t>
      </w:r>
      <w:proofErr w:type="spellEnd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524"/>
      </w:tblGrid>
      <w:tr w:rsidR="00B542A0" w:rsidRPr="0005262F" w:rsidTr="00B16124">
        <w:trPr>
          <w:gridAfter w:val="1"/>
          <w:wAfter w:w="1524" w:type="dxa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542A0" w:rsidRPr="0005262F" w:rsidTr="00B16124">
        <w:trPr>
          <w:gridAfter w:val="1"/>
          <w:wAfter w:w="1524" w:type="dxa"/>
        </w:trPr>
        <w:tc>
          <w:tcPr>
            <w:tcW w:w="2905" w:type="dxa"/>
            <w:tcBorders>
              <w:lef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Strefa</w:t>
            </w:r>
          </w:p>
        </w:tc>
      </w:tr>
      <w:tr w:rsidR="00B542A0" w:rsidRPr="0005262F" w:rsidTr="00B542A0">
        <w:tc>
          <w:tcPr>
            <w:tcW w:w="2905" w:type="dxa"/>
            <w:tcBorders>
              <w:left w:val="single" w:sz="6" w:space="0" w:color="auto"/>
              <w:bottom w:val="doub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korpusu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Ruch mniejszy</w:t>
            </w:r>
          </w:p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od ciężkiego</w:t>
            </w:r>
          </w:p>
        </w:tc>
      </w:tr>
      <w:tr w:rsidR="00B542A0" w:rsidRPr="0005262F" w:rsidTr="00B542A0">
        <w:tc>
          <w:tcPr>
            <w:tcW w:w="29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Górna warstwa o grubości 20 cm</w:t>
            </w:r>
          </w:p>
        </w:tc>
        <w:tc>
          <w:tcPr>
            <w:tcW w:w="15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1,00</w:t>
            </w:r>
          </w:p>
        </w:tc>
      </w:tr>
      <w:tr w:rsidR="00B542A0" w:rsidRPr="0005262F" w:rsidTr="00B542A0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 głębokości od 20 do 50 cm od powierzchni podłoża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0,97</w:t>
            </w:r>
          </w:p>
        </w:tc>
      </w:tr>
    </w:tbl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przypadku, gdy gruboziarnisty materiał tworzący podłoże uniemożliwia przeprowadzenie badania zagęszczenia, kontrolę zagęszczenia należy oprzeć na metodzie obciążeń płytowych. Należy określić pierwotny i wtórny moduł odkształcenia podłoża według BN-64/8931-02 [3]. Stosunek wtórnego i pierwotnego modułu odkształcenia nie powinien przekraczać 2,2.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Wilgotność gruntu podłoża podczas zagęszczania powinna być równa wilgotności optymalnej z tolerancją od -20% do +10%.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11" w:name="_Toc406913855"/>
      <w:bookmarkStart w:id="212" w:name="_Toc406914100"/>
      <w:bookmarkStart w:id="213" w:name="_Toc406914755"/>
      <w:bookmarkStart w:id="214" w:name="_Toc406915333"/>
      <w:bookmarkStart w:id="215" w:name="_Toc406984026"/>
      <w:bookmarkStart w:id="216" w:name="_Toc406984173"/>
      <w:bookmarkStart w:id="217" w:name="_Toc406984364"/>
      <w:bookmarkStart w:id="218" w:name="_Toc407069572"/>
      <w:bookmarkStart w:id="219" w:name="_Toc407081537"/>
      <w:bookmarkStart w:id="220" w:name="_Toc407083336"/>
      <w:bookmarkStart w:id="221" w:name="_Toc407084170"/>
      <w:bookmarkStart w:id="222" w:name="_Toc407085289"/>
      <w:bookmarkStart w:id="223" w:name="_Toc407085432"/>
      <w:bookmarkStart w:id="224" w:name="_Toc407085575"/>
      <w:bookmarkStart w:id="225" w:name="_Toc407086023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5.5. Utrzymanie koryta oraz wyprofilowanego i zagęszczonego podłoża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Podłoże (koryto) po wyprofilowaniu i zagęszczeniu powinno być utrzymywane w dobrym stanie.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Jeżeli po wykonaniu robót związanych z profilowaniem i zagęszczeniem podłoża nastąpi przerwa w robotach i Wykonawca nie przystąpi natychmiast do układania warstw nawierzchni, to powinien on zabezpieczyć podłoże przed nadmiernym zawilgoceniem, na przykład przez rozłożenie folii lub w inny sposób zaakceptowany przez Inżyniera.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Jeżeli wyprofilowane i zagęszczone podłoże uległo nadmiernemu zawilgoceniu, to do układania kolejnej warstwy można przystąpić dopiero po jego naturalnym osuszeniu.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 osuszeniu podłoża Inżynier oceni jego stan i ewentualnie zaleci wykonanie niezbędnych napraw. Jeżeli zawilgocenie nastąpiło wskutek zaniedbania Wykonawcy, to naprawę wykona on na własny koszt.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226" w:name="_Toc406913856"/>
      <w:bookmarkStart w:id="227" w:name="_Toc406914101"/>
      <w:bookmarkStart w:id="228" w:name="_Toc406914756"/>
      <w:bookmarkStart w:id="229" w:name="_Toc406915334"/>
      <w:bookmarkStart w:id="230" w:name="_Toc406984027"/>
      <w:bookmarkStart w:id="231" w:name="_Toc406984174"/>
      <w:bookmarkStart w:id="232" w:name="_Toc406984365"/>
      <w:bookmarkStart w:id="233" w:name="_Toc407069573"/>
      <w:bookmarkStart w:id="234" w:name="_Toc407081538"/>
      <w:bookmarkStart w:id="235" w:name="_Toc407083337"/>
      <w:bookmarkStart w:id="236" w:name="_Toc407084171"/>
      <w:bookmarkStart w:id="237" w:name="_Toc407085290"/>
      <w:bookmarkStart w:id="238" w:name="_Toc407085433"/>
      <w:bookmarkStart w:id="239" w:name="_Toc407085576"/>
      <w:bookmarkStart w:id="240" w:name="_Toc407086024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lastRenderedPageBreak/>
        <w:t>6. kontrola jakości robót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41" w:name="_Toc406913857"/>
      <w:bookmarkStart w:id="242" w:name="_Toc406914102"/>
      <w:bookmarkStart w:id="243" w:name="_Toc406914757"/>
      <w:bookmarkStart w:id="244" w:name="_Toc406915335"/>
      <w:bookmarkStart w:id="245" w:name="_Toc406984028"/>
      <w:bookmarkStart w:id="246" w:name="_Toc406984175"/>
      <w:bookmarkStart w:id="247" w:name="_Toc406984366"/>
      <w:bookmarkStart w:id="248" w:name="_Toc407069574"/>
      <w:bookmarkStart w:id="249" w:name="_Toc407081539"/>
      <w:bookmarkStart w:id="250" w:name="_Toc407083338"/>
      <w:bookmarkStart w:id="251" w:name="_Toc407084172"/>
      <w:bookmarkStart w:id="252" w:name="_Toc407085291"/>
      <w:bookmarkStart w:id="253" w:name="_Toc407085434"/>
      <w:bookmarkStart w:id="254" w:name="_Toc407085577"/>
      <w:bookmarkStart w:id="255" w:name="_Toc407086025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6.1. Ogólne zasady kontroli jakości robót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kontroli jakości robót podano w OST D-M-00.00.00 „Wymagania ogólne” pkt 6.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56" w:name="_Toc406913858"/>
      <w:bookmarkStart w:id="257" w:name="_Toc406914103"/>
      <w:bookmarkStart w:id="258" w:name="_Toc406914758"/>
      <w:bookmarkStart w:id="259" w:name="_Toc406915336"/>
      <w:bookmarkStart w:id="260" w:name="_Toc406984029"/>
      <w:bookmarkStart w:id="261" w:name="_Toc406984176"/>
      <w:bookmarkStart w:id="262" w:name="_Toc406984367"/>
      <w:bookmarkStart w:id="263" w:name="_Toc407069575"/>
      <w:bookmarkStart w:id="264" w:name="_Toc407081540"/>
      <w:bookmarkStart w:id="265" w:name="_Toc407083339"/>
      <w:bookmarkStart w:id="266" w:name="_Toc407084173"/>
      <w:bookmarkStart w:id="267" w:name="_Toc407085292"/>
      <w:bookmarkStart w:id="268" w:name="_Toc407085435"/>
      <w:bookmarkStart w:id="269" w:name="_Toc407085578"/>
      <w:bookmarkStart w:id="270" w:name="_Toc407086026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6.2. Badania w czasie robót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6.2.1.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Częstotliwość oraz zakres badań i pomiarów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Częstotliwość oraz zakres badań i pomiarów dotyczących cech geometrycznych i zagęszczenia koryta i wyprofilowanego podłoża podaje tablica 2.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ind w:left="1134" w:hanging="113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2.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Częstotliwość oraz zakres badań i pomiarów wykonanego koryta i wyprofilowanego podłoża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3"/>
      </w:tblGrid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Wyszczególnienie badań</w:t>
            </w:r>
          </w:p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 pomiarów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Minimalna częstotliwość</w:t>
            </w:r>
          </w:p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badań i pomiarów</w:t>
            </w:r>
          </w:p>
        </w:tc>
      </w:tr>
      <w:tr w:rsidR="0005262F" w:rsidRPr="0005262F" w:rsidTr="00B542A0">
        <w:tc>
          <w:tcPr>
            <w:tcW w:w="4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 koryta</w:t>
            </w:r>
          </w:p>
        </w:tc>
        <w:tc>
          <w:tcPr>
            <w:tcW w:w="47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 razy na 1 km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Równość podłużna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 20 m na każdym pasie ruchu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Równość poprzeczna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 razy na 1 km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Spadki poprzeczne 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 razy na 1 km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Rzędne wysokościowe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2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 25 m w osi jezdni i na jej krawędziach dla autostrad       i dróg ekspresowych, co 100 m dla pozostałych dróg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Ukształtowanie osi w planie 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 25 m w osi jezdni i na jej krawędziach dla autostrad           i dróg ekspresowych, co 100 m dla pozostałych dróg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2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Zagęszczenie, wilgotność gruntu podłoża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2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2 punktach na dziennej działce roboczej, lecz nie rzadziej niż raz na 600 m</w:t>
            </w: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</w:tbl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6.2.2.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Szerokość koryta (profilowanego podłoża)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Szerokość koryta i profilowanego podłoża nie może różnić się od szerokości projektowanej o więcej niż +10 cm i -5 cm.</w:t>
      </w:r>
    </w:p>
    <w:p w:rsid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6.2.3.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Równość koryta (profilowanego podłoża)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Nierówności podłużne koryta i profilowanego podłoża należy mierzyć 4-metrową łatą zgodnie z normą BN-68/8931-04 [4].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Nierówności poprzeczne należy mierzyć 4-metrową łatą.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Nierówności nie mogą przekraczać 20 mm.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6.2.4.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Spadki poprzeczne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Spadki poprzeczne koryta i profilowanego podłoża powinny być zgodne z dokumentacją projektową z tolerancją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0,5%.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6.2.5.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Rzędne wysokościowe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Różnice pomiędzy rzędnymi wysokościowymi koryta lub wyprofilowanego podłoża i rzędnymi projektowanymi nie powinny przekraczać +1 cm, -2 cm.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6.2.6.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Ukształtowanie osi w planie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Oś w planie nie może być przesunięta w stosunku do osi projektowanej o więcej niż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3 cm dla autostrad i dróg ekspresowych lub więcej niż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5 cm dla pozostałych dróg.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6.2.7.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Zagęszczenie koryta (profilowanego podłoża)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Wskaźnik zagęszczenia koryta i wyprofilowanego podłoża określony wg BN-77/8931-12 [5] nie powinien być mniejszy od podanego w tablicy 1.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Jeśli jako kryterium dobrego zagęszczenia stosuje się porównanie wartości modułów odkształcenia, to wartość stosunku wtórnego do pierwotnego modułu odkształcenia, określonych zgodnie z normą BN-64/8931-02 [3] nie powinna być większa od 2,2.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ab/>
        <w:t>Wilgotność w czasie zagęszczania należy badać według PN-B-06714-17 [2]. Wilgotność gruntu podłoża powinna być równa wilgotności optymalnej z tolerancją od               -20% do + 10%.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ind w:left="426" w:hanging="426"/>
        <w:jc w:val="both"/>
        <w:textAlignment w:val="baseline"/>
        <w:outlineLvl w:val="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271" w:name="_Toc406913860"/>
      <w:bookmarkStart w:id="272" w:name="_Toc406914105"/>
      <w:bookmarkStart w:id="273" w:name="_Toc406914759"/>
      <w:bookmarkStart w:id="274" w:name="_Toc406914862"/>
      <w:bookmarkStart w:id="275" w:name="_Toc406915337"/>
      <w:bookmarkStart w:id="276" w:name="_Toc406984030"/>
      <w:bookmarkStart w:id="277" w:name="_Toc406984177"/>
      <w:bookmarkStart w:id="278" w:name="_Toc406984368"/>
      <w:bookmarkStart w:id="279" w:name="_Toc407069576"/>
      <w:bookmarkStart w:id="280" w:name="_Toc407081541"/>
      <w:bookmarkStart w:id="281" w:name="_Toc407083340"/>
      <w:bookmarkStart w:id="282" w:name="_Toc407084174"/>
      <w:bookmarkStart w:id="283" w:name="_Toc407085293"/>
      <w:bookmarkStart w:id="284" w:name="_Toc407085436"/>
      <w:bookmarkStart w:id="285" w:name="_Toc407085579"/>
      <w:bookmarkStart w:id="286" w:name="_Toc407086027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6.3. Zasady postępowania z wadliwie wykonanymi odcinkami koryta (profilowanego</w:t>
      </w:r>
      <w:bookmarkEnd w:id="271"/>
      <w:bookmarkEnd w:id="272"/>
      <w:bookmarkEnd w:id="273"/>
      <w:bookmarkEnd w:id="274"/>
      <w:bookmarkEnd w:id="275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podłoża)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Wszystkie powierzchnie, które wykazują większe odchylenia cech geometrycznych od określonych w punkcie 6.2 powinny być naprawione przez spulchnienie do głębokości co najmniej 10 cm, wyrównanie i powtórne zagęszczenie. Dodanie nowego materiału bez spulchnienia wykonanej warstwy jest niedopuszczalne.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287" w:name="_Toc406913861"/>
      <w:bookmarkStart w:id="288" w:name="_Toc406914106"/>
      <w:bookmarkStart w:id="289" w:name="_Toc406914760"/>
      <w:bookmarkStart w:id="290" w:name="_Toc406915338"/>
      <w:bookmarkStart w:id="291" w:name="_Toc406984031"/>
      <w:bookmarkStart w:id="292" w:name="_Toc406984178"/>
      <w:bookmarkStart w:id="293" w:name="_Toc406984369"/>
      <w:bookmarkStart w:id="294" w:name="_Toc407069577"/>
      <w:bookmarkStart w:id="295" w:name="_Toc407081542"/>
      <w:bookmarkStart w:id="296" w:name="_Toc407083341"/>
      <w:bookmarkStart w:id="297" w:name="_Toc407084175"/>
      <w:bookmarkStart w:id="298" w:name="_Toc407085294"/>
      <w:bookmarkStart w:id="299" w:name="_Toc407085437"/>
      <w:bookmarkStart w:id="300" w:name="_Toc407085580"/>
      <w:bookmarkStart w:id="301" w:name="_Toc407086028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7. obmiar robót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02" w:name="_Toc406913862"/>
      <w:bookmarkStart w:id="303" w:name="_Toc406914107"/>
      <w:bookmarkStart w:id="304" w:name="_Toc406914761"/>
      <w:bookmarkStart w:id="305" w:name="_Toc406915339"/>
      <w:bookmarkStart w:id="306" w:name="_Toc406984032"/>
      <w:bookmarkStart w:id="307" w:name="_Toc406984179"/>
      <w:bookmarkStart w:id="308" w:name="_Toc406984370"/>
      <w:bookmarkStart w:id="309" w:name="_Toc407069578"/>
      <w:bookmarkStart w:id="310" w:name="_Toc407081543"/>
      <w:bookmarkStart w:id="311" w:name="_Toc407083342"/>
      <w:bookmarkStart w:id="312" w:name="_Toc407084176"/>
      <w:bookmarkStart w:id="313" w:name="_Toc407085295"/>
      <w:bookmarkStart w:id="314" w:name="_Toc407085438"/>
      <w:bookmarkStart w:id="315" w:name="_Toc407085581"/>
      <w:bookmarkStart w:id="316" w:name="_Toc407086029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7.1. Ogólne zasady obmiaru robót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obmiaru robót podano w OST D-M-00.00.00 „Wymagania ogólne” pkt 7.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17" w:name="_Toc406913863"/>
      <w:bookmarkStart w:id="318" w:name="_Toc406914108"/>
      <w:bookmarkStart w:id="319" w:name="_Toc406914762"/>
      <w:bookmarkStart w:id="320" w:name="_Toc406915340"/>
      <w:bookmarkStart w:id="321" w:name="_Toc406984033"/>
      <w:bookmarkStart w:id="322" w:name="_Toc406984180"/>
      <w:bookmarkStart w:id="323" w:name="_Toc406984371"/>
      <w:bookmarkStart w:id="324" w:name="_Toc407069579"/>
      <w:bookmarkStart w:id="325" w:name="_Toc407081544"/>
      <w:bookmarkStart w:id="326" w:name="_Toc407083343"/>
      <w:bookmarkStart w:id="327" w:name="_Toc407084177"/>
      <w:bookmarkStart w:id="328" w:name="_Toc407085296"/>
      <w:bookmarkStart w:id="329" w:name="_Toc407085439"/>
      <w:bookmarkStart w:id="330" w:name="_Toc407085582"/>
      <w:bookmarkStart w:id="331" w:name="_Toc407086030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7.2. Jednostka obmiarowa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Jednostką obmiarową jest m</w:t>
      </w:r>
      <w:r w:rsidRPr="0005262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(metr kwadratowy) wykonanego i odebranego koryta.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332" w:name="_Toc406913864"/>
      <w:bookmarkStart w:id="333" w:name="_Toc406914109"/>
      <w:bookmarkStart w:id="334" w:name="_Toc406914763"/>
      <w:bookmarkStart w:id="335" w:name="_Toc406915341"/>
      <w:bookmarkStart w:id="336" w:name="_Toc406984034"/>
      <w:bookmarkStart w:id="337" w:name="_Toc406984181"/>
      <w:bookmarkStart w:id="338" w:name="_Toc406984372"/>
      <w:bookmarkStart w:id="339" w:name="_Toc407069580"/>
      <w:bookmarkStart w:id="340" w:name="_Toc407081545"/>
      <w:bookmarkStart w:id="341" w:name="_Toc407083344"/>
      <w:bookmarkStart w:id="342" w:name="_Toc407084178"/>
      <w:bookmarkStart w:id="343" w:name="_Toc407085297"/>
      <w:bookmarkStart w:id="344" w:name="_Toc407085440"/>
      <w:bookmarkStart w:id="345" w:name="_Toc407085583"/>
      <w:bookmarkStart w:id="346" w:name="_Toc407086031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8. odbiór robót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odbioru robót podano w OST D-M-00.00.00 „Wymagania ogólne” pkt 8.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Roboty uznaje się za wykonane zgodnie z dokumentacja projektową, SST i wymaganiami Inżyniera, jeżeli wszystkie pomiary i badania z zachowaniem tolerancji wg punktu 6 dały wyniki pozytywne.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347" w:name="_Toc406913865"/>
      <w:bookmarkStart w:id="348" w:name="_Toc406914110"/>
      <w:bookmarkStart w:id="349" w:name="_Toc406914764"/>
      <w:bookmarkStart w:id="350" w:name="_Toc406915342"/>
      <w:bookmarkStart w:id="351" w:name="_Toc406984035"/>
      <w:bookmarkStart w:id="352" w:name="_Toc406984182"/>
      <w:bookmarkStart w:id="353" w:name="_Toc406984373"/>
      <w:bookmarkStart w:id="354" w:name="_Toc407069581"/>
      <w:bookmarkStart w:id="355" w:name="_Toc407081546"/>
      <w:bookmarkStart w:id="356" w:name="_Toc407083345"/>
      <w:bookmarkStart w:id="357" w:name="_Toc407084179"/>
      <w:bookmarkStart w:id="358" w:name="_Toc407085298"/>
      <w:bookmarkStart w:id="359" w:name="_Toc407085441"/>
      <w:bookmarkStart w:id="360" w:name="_Toc407085584"/>
      <w:bookmarkStart w:id="361" w:name="_Toc407086032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9. podstawa płatności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62" w:name="_Toc406913866"/>
      <w:bookmarkStart w:id="363" w:name="_Toc406914111"/>
      <w:bookmarkStart w:id="364" w:name="_Toc406914765"/>
      <w:bookmarkStart w:id="365" w:name="_Toc406915343"/>
      <w:bookmarkStart w:id="366" w:name="_Toc406984036"/>
      <w:bookmarkStart w:id="367" w:name="_Toc406984183"/>
      <w:bookmarkStart w:id="368" w:name="_Toc406984374"/>
      <w:bookmarkStart w:id="369" w:name="_Toc407069582"/>
      <w:bookmarkStart w:id="370" w:name="_Toc407081547"/>
      <w:bookmarkStart w:id="371" w:name="_Toc407083346"/>
      <w:bookmarkStart w:id="372" w:name="_Toc407084180"/>
      <w:bookmarkStart w:id="373" w:name="_Toc407085299"/>
      <w:bookmarkStart w:id="374" w:name="_Toc407085442"/>
      <w:bookmarkStart w:id="375" w:name="_Toc407085585"/>
      <w:bookmarkStart w:id="376" w:name="_Toc407086033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9.1. Ogólne ustalenia dotyczące podstawy płatności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ustalenia dotyczące podstawy płatności podano w OST D-M-00.00.00 „Wymagania ogólne” pkt 9.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77" w:name="_Toc406913867"/>
      <w:bookmarkStart w:id="378" w:name="_Toc406914112"/>
      <w:bookmarkStart w:id="379" w:name="_Toc406914766"/>
      <w:bookmarkStart w:id="380" w:name="_Toc406915344"/>
      <w:bookmarkStart w:id="381" w:name="_Toc406984037"/>
      <w:bookmarkStart w:id="382" w:name="_Toc406984184"/>
      <w:bookmarkStart w:id="383" w:name="_Toc406984375"/>
      <w:bookmarkStart w:id="384" w:name="_Toc407069583"/>
      <w:bookmarkStart w:id="385" w:name="_Toc407081548"/>
      <w:bookmarkStart w:id="386" w:name="_Toc407083347"/>
      <w:bookmarkStart w:id="387" w:name="_Toc407084181"/>
      <w:bookmarkStart w:id="388" w:name="_Toc407085300"/>
      <w:bookmarkStart w:id="389" w:name="_Toc407085443"/>
      <w:bookmarkStart w:id="390" w:name="_Toc407085586"/>
      <w:bookmarkStart w:id="391" w:name="_Toc407086034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9.2. Cena jednostki obmiarowej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Cena wykonania 1 m</w:t>
      </w:r>
      <w:r w:rsidRPr="0005262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koryta obejmuje: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prace pomiarowe i roboty przygotowawcze,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odspojenie gruntu z przerzutem na pobocze i rozplantowaniem,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załadunek nadmiaru odspojonego gruntu na środki transportowe i odwiezienie na odkład lub nasyp,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profilowanie dna koryta lub podłoża,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zagęszczenie,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utrzymanie koryta lub podłoża,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przeprowadzenie pomiarów i badań laboratoryjnych, wymaganych w specyfikacji technicznej.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392" w:name="_Toc406913868"/>
      <w:bookmarkStart w:id="393" w:name="_Toc406914113"/>
      <w:bookmarkStart w:id="394" w:name="_Toc406914767"/>
      <w:bookmarkStart w:id="395" w:name="_Toc406915345"/>
      <w:bookmarkStart w:id="396" w:name="_Toc406984038"/>
      <w:bookmarkStart w:id="397" w:name="_Toc406984185"/>
      <w:bookmarkStart w:id="398" w:name="_Toc406984376"/>
      <w:bookmarkStart w:id="399" w:name="_Toc407069584"/>
      <w:bookmarkStart w:id="400" w:name="_Toc407081549"/>
      <w:bookmarkStart w:id="401" w:name="_Toc407083348"/>
      <w:bookmarkStart w:id="402" w:name="_Toc407084182"/>
      <w:bookmarkStart w:id="403" w:name="_Toc407085301"/>
      <w:bookmarkStart w:id="404" w:name="_Toc407085444"/>
      <w:bookmarkStart w:id="405" w:name="_Toc407085587"/>
      <w:bookmarkStart w:id="406" w:name="_Toc407086035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10. przepisy związane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407" w:name="_Toc406913869"/>
      <w:bookmarkStart w:id="408" w:name="_Toc406914114"/>
      <w:bookmarkStart w:id="409" w:name="_Toc406914768"/>
      <w:bookmarkStart w:id="410" w:name="_Toc406915346"/>
      <w:bookmarkStart w:id="411" w:name="_Toc406984039"/>
      <w:bookmarkStart w:id="412" w:name="_Toc406984186"/>
      <w:bookmarkStart w:id="413" w:name="_Toc406984377"/>
      <w:bookmarkStart w:id="414" w:name="_Toc407069585"/>
      <w:bookmarkStart w:id="415" w:name="_Toc407081550"/>
      <w:bookmarkStart w:id="416" w:name="_Toc407083349"/>
      <w:bookmarkStart w:id="417" w:name="_Toc407084183"/>
      <w:bookmarkStart w:id="418" w:name="_Toc407085302"/>
      <w:bookmarkStart w:id="419" w:name="_Toc407085445"/>
      <w:bookmarkStart w:id="420" w:name="_Toc407085588"/>
      <w:bookmarkStart w:id="421" w:name="_Toc407086036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Normy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5313"/>
      </w:tblGrid>
      <w:tr w:rsidR="0005262F" w:rsidRPr="0005262F" w:rsidTr="00B16124">
        <w:tc>
          <w:tcPr>
            <w:tcW w:w="496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701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PN-B-04481</w:t>
            </w:r>
          </w:p>
        </w:tc>
        <w:tc>
          <w:tcPr>
            <w:tcW w:w="5313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Grunty budowlane. Badania próbek gruntu</w:t>
            </w:r>
          </w:p>
        </w:tc>
      </w:tr>
      <w:tr w:rsidR="0005262F" w:rsidRPr="0005262F" w:rsidTr="00B16124">
        <w:tc>
          <w:tcPr>
            <w:tcW w:w="496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701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PN-/B-06714-17</w:t>
            </w:r>
          </w:p>
        </w:tc>
        <w:tc>
          <w:tcPr>
            <w:tcW w:w="5313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Kruszywa mineralne. Badania. Oznaczanie wilgotności</w:t>
            </w:r>
          </w:p>
        </w:tc>
      </w:tr>
      <w:tr w:rsidR="0005262F" w:rsidRPr="0005262F" w:rsidTr="00B16124">
        <w:tc>
          <w:tcPr>
            <w:tcW w:w="496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701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BN-64/8931-02</w:t>
            </w:r>
          </w:p>
        </w:tc>
        <w:tc>
          <w:tcPr>
            <w:tcW w:w="5313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samochodowe. Oznaczanie modułu odkształcenia nawierzchni podatnych i podłoża przez obciążenie płytą</w:t>
            </w:r>
          </w:p>
        </w:tc>
      </w:tr>
      <w:tr w:rsidR="0005262F" w:rsidRPr="0005262F" w:rsidTr="00B16124">
        <w:tc>
          <w:tcPr>
            <w:tcW w:w="496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701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BN-68/8931-04</w:t>
            </w:r>
          </w:p>
        </w:tc>
        <w:tc>
          <w:tcPr>
            <w:tcW w:w="5313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Drogi samochodowe. Pomiar równości nawierzchni </w:t>
            </w:r>
            <w:proofErr w:type="spellStart"/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planografem</w:t>
            </w:r>
            <w:proofErr w:type="spellEnd"/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łatą</w:t>
            </w:r>
          </w:p>
        </w:tc>
      </w:tr>
      <w:tr w:rsidR="0005262F" w:rsidRPr="0005262F" w:rsidTr="00B16124">
        <w:tc>
          <w:tcPr>
            <w:tcW w:w="496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701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BN-77/8931-12</w:t>
            </w:r>
          </w:p>
        </w:tc>
        <w:tc>
          <w:tcPr>
            <w:tcW w:w="5313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Oznaczanie wskaźnika zagęszczenia gruntu</w:t>
            </w:r>
          </w:p>
        </w:tc>
      </w:tr>
    </w:tbl>
    <w:p w:rsidR="004F1E9F" w:rsidRDefault="004F1E9F" w:rsidP="0005262F"/>
    <w:sectPr w:rsidR="004F1E9F" w:rsidSect="00502295">
      <w:footerReference w:type="default" r:id="rId8"/>
      <w:pgSz w:w="11906" w:h="16838"/>
      <w:pgMar w:top="1417" w:right="1417" w:bottom="1417" w:left="1417" w:header="708" w:footer="0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B06" w:rsidRDefault="00C77B06" w:rsidP="00A71842">
      <w:pPr>
        <w:spacing w:after="0" w:line="240" w:lineRule="auto"/>
      </w:pPr>
      <w:r>
        <w:separator/>
      </w:r>
    </w:p>
  </w:endnote>
  <w:endnote w:type="continuationSeparator" w:id="0">
    <w:p w:rsidR="00C77B06" w:rsidRDefault="00C77B06" w:rsidP="00A71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2353053"/>
      <w:docPartObj>
        <w:docPartGallery w:val="Page Numbers (Bottom of Page)"/>
        <w:docPartUnique/>
      </w:docPartObj>
    </w:sdtPr>
    <w:sdtContent>
      <w:p w:rsidR="00502295" w:rsidRDefault="0050229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59</w:t>
        </w:r>
        <w:r>
          <w:fldChar w:fldCharType="end"/>
        </w:r>
      </w:p>
    </w:sdtContent>
  </w:sdt>
  <w:p w:rsidR="00A71842" w:rsidRDefault="00A7184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B06" w:rsidRDefault="00C77B06" w:rsidP="00A71842">
      <w:pPr>
        <w:spacing w:after="0" w:line="240" w:lineRule="auto"/>
      </w:pPr>
      <w:r>
        <w:separator/>
      </w:r>
    </w:p>
  </w:footnote>
  <w:footnote w:type="continuationSeparator" w:id="0">
    <w:p w:rsidR="00C77B06" w:rsidRDefault="00C77B06" w:rsidP="00A71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BE45420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4802"/>
    <w:rsid w:val="0005262F"/>
    <w:rsid w:val="001603DC"/>
    <w:rsid w:val="00232831"/>
    <w:rsid w:val="00397410"/>
    <w:rsid w:val="003B7ABB"/>
    <w:rsid w:val="0041042A"/>
    <w:rsid w:val="00497340"/>
    <w:rsid w:val="004F1E9F"/>
    <w:rsid w:val="00502295"/>
    <w:rsid w:val="00531C72"/>
    <w:rsid w:val="00894802"/>
    <w:rsid w:val="00915853"/>
    <w:rsid w:val="009561F7"/>
    <w:rsid w:val="009B3AE3"/>
    <w:rsid w:val="009E1885"/>
    <w:rsid w:val="00A71842"/>
    <w:rsid w:val="00AA7E20"/>
    <w:rsid w:val="00B542A0"/>
    <w:rsid w:val="00B54591"/>
    <w:rsid w:val="00C77B06"/>
    <w:rsid w:val="00CF6A0F"/>
    <w:rsid w:val="00E41582"/>
    <w:rsid w:val="00EB0E32"/>
    <w:rsid w:val="00EE2A32"/>
    <w:rsid w:val="00EF2A0E"/>
    <w:rsid w:val="00FD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1E9F"/>
  </w:style>
  <w:style w:type="paragraph" w:styleId="Nagwek1">
    <w:name w:val="heading 1"/>
    <w:basedOn w:val="Normalny"/>
    <w:link w:val="Nagwek1Znak"/>
    <w:uiPriority w:val="9"/>
    <w:qFormat/>
    <w:rsid w:val="008948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8948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480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9480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standardowytekst">
    <w:name w:val="standardowytekst"/>
    <w:basedOn w:val="Normalny"/>
    <w:rsid w:val="00894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894802"/>
  </w:style>
  <w:style w:type="character" w:styleId="Hipercze">
    <w:name w:val="Hyperlink"/>
    <w:basedOn w:val="Domylnaczcionkaakapitu"/>
    <w:uiPriority w:val="99"/>
    <w:semiHidden/>
    <w:unhideWhenUsed/>
    <w:rsid w:val="00894802"/>
    <w:rPr>
      <w:color w:val="0000FF"/>
      <w:u w:val="single"/>
    </w:rPr>
  </w:style>
  <w:style w:type="paragraph" w:customStyle="1" w:styleId="tekstost">
    <w:name w:val="tekstost"/>
    <w:basedOn w:val="Normalny"/>
    <w:rsid w:val="00894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1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842"/>
  </w:style>
  <w:style w:type="paragraph" w:styleId="Stopka">
    <w:name w:val="footer"/>
    <w:basedOn w:val="Normalny"/>
    <w:link w:val="StopkaZnak"/>
    <w:uiPriority w:val="99"/>
    <w:unhideWhenUsed/>
    <w:rsid w:val="00A71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8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0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7061">
          <w:marLeft w:val="0"/>
          <w:marRight w:val="0"/>
          <w:marTop w:val="0"/>
          <w:marBottom w:val="0"/>
          <w:divBdr>
            <w:top w:val="single" w:sz="4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1508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Jerzy Bakalarski</cp:lastModifiedBy>
  <cp:revision>14</cp:revision>
  <dcterms:created xsi:type="dcterms:W3CDTF">2017-01-27T17:17:00Z</dcterms:created>
  <dcterms:modified xsi:type="dcterms:W3CDTF">2021-09-30T19:33:00Z</dcterms:modified>
</cp:coreProperties>
</file>